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AD" w:rsidRPr="005A1210" w:rsidRDefault="00547CAD" w:rsidP="00E52405">
      <w:pPr>
        <w:pStyle w:val="Prrafodelista"/>
        <w:ind w:left="0"/>
        <w:jc w:val="center"/>
        <w:rPr>
          <w:rFonts w:ascii="Bookman Old Style" w:hAnsi="Bookman Old Style"/>
        </w:rPr>
      </w:pPr>
      <w:r w:rsidRPr="005A1210">
        <w:rPr>
          <w:rFonts w:ascii="Bookman Old Style" w:hAnsi="Bookman Old Style"/>
        </w:rPr>
        <w:t xml:space="preserve">TEXTO APROBADO EN PRIMER DEBATE EN SESIÓN ORDINARIA DE LA COMISIÓN QUINTA CONSTITUCIONAL PERMANENTE DE LA </w:t>
      </w:r>
      <w:r w:rsidR="00C917AB" w:rsidRPr="005A1210">
        <w:rPr>
          <w:rFonts w:ascii="Bookman Old Style" w:hAnsi="Bookman Old Style"/>
        </w:rPr>
        <w:t>CÁMARA DE</w:t>
      </w:r>
      <w:r w:rsidRPr="005A1210">
        <w:rPr>
          <w:rFonts w:ascii="Bookman Old Style" w:hAnsi="Bookman Old Style"/>
        </w:rPr>
        <w:t xml:space="preserve"> REPRESENTANTES </w:t>
      </w:r>
      <w:r w:rsidR="00C9294C" w:rsidRPr="005A1210">
        <w:rPr>
          <w:rFonts w:ascii="Bookman Old Style" w:hAnsi="Bookman Old Style"/>
        </w:rPr>
        <w:t>E</w:t>
      </w:r>
      <w:r w:rsidR="003D6953" w:rsidRPr="005A1210">
        <w:rPr>
          <w:rFonts w:ascii="Bookman Old Style" w:hAnsi="Bookman Old Style"/>
        </w:rPr>
        <w:t>L</w:t>
      </w:r>
      <w:r w:rsidR="00172FE3" w:rsidRPr="005A1210">
        <w:rPr>
          <w:rFonts w:ascii="Bookman Old Style" w:hAnsi="Bookman Old Style"/>
        </w:rPr>
        <w:t xml:space="preserve"> </w:t>
      </w:r>
      <w:r w:rsidRPr="005A1210">
        <w:rPr>
          <w:rFonts w:ascii="Bookman Old Style" w:hAnsi="Bookman Old Style"/>
        </w:rPr>
        <w:t>DÍA</w:t>
      </w:r>
      <w:r w:rsidR="00C9294C" w:rsidRPr="005A1210">
        <w:rPr>
          <w:rFonts w:ascii="Bookman Old Style" w:hAnsi="Bookman Old Style"/>
        </w:rPr>
        <w:t xml:space="preserve"> </w:t>
      </w:r>
      <w:r w:rsidR="008C2C16" w:rsidRPr="005A1210">
        <w:rPr>
          <w:rFonts w:ascii="Bookman Old Style" w:hAnsi="Bookman Old Style"/>
        </w:rPr>
        <w:t>3</w:t>
      </w:r>
      <w:r w:rsidR="00C9294C" w:rsidRPr="005A1210">
        <w:rPr>
          <w:rFonts w:ascii="Bookman Old Style" w:hAnsi="Bookman Old Style"/>
        </w:rPr>
        <w:t xml:space="preserve"> DE </w:t>
      </w:r>
      <w:r w:rsidR="00295CC4" w:rsidRPr="005A1210">
        <w:rPr>
          <w:rFonts w:ascii="Bookman Old Style" w:hAnsi="Bookman Old Style"/>
        </w:rPr>
        <w:t>DICIEMBRE</w:t>
      </w:r>
      <w:r w:rsidR="00C9294C" w:rsidRPr="005A1210">
        <w:rPr>
          <w:rFonts w:ascii="Bookman Old Style" w:hAnsi="Bookman Old Style"/>
        </w:rPr>
        <w:t xml:space="preserve"> DE 2024</w:t>
      </w:r>
      <w:r w:rsidRPr="005A1210">
        <w:rPr>
          <w:rFonts w:ascii="Bookman Old Style" w:hAnsi="Bookman Old Style"/>
        </w:rPr>
        <w:t>.</w:t>
      </w:r>
    </w:p>
    <w:p w:rsidR="00172FE3" w:rsidRPr="005A1210" w:rsidRDefault="00172FE3" w:rsidP="00E52405">
      <w:pPr>
        <w:pStyle w:val="Prrafodelista"/>
        <w:ind w:left="0"/>
        <w:jc w:val="center"/>
        <w:rPr>
          <w:rFonts w:ascii="Bookman Old Style" w:eastAsia="Times" w:hAnsi="Bookman Old Style" w:cs="Times"/>
          <w:b/>
        </w:rPr>
      </w:pPr>
    </w:p>
    <w:p w:rsidR="00536848" w:rsidRPr="005A1210" w:rsidRDefault="00536848" w:rsidP="00536848">
      <w:pPr>
        <w:pStyle w:val="Prrafodelista"/>
        <w:ind w:left="0"/>
        <w:jc w:val="center"/>
        <w:rPr>
          <w:rFonts w:ascii="Bookman Old Style" w:eastAsia="Times" w:hAnsi="Bookman Old Style" w:cs="Times"/>
          <w:lang w:val="es-ES"/>
        </w:rPr>
      </w:pPr>
      <w:r w:rsidRPr="005A1210">
        <w:rPr>
          <w:rFonts w:ascii="Bookman Old Style" w:eastAsia="Times" w:hAnsi="Bookman Old Style" w:cs="Times"/>
          <w:lang w:val="es-ES"/>
        </w:rPr>
        <w:t xml:space="preserve">Proyecto de Ley </w:t>
      </w:r>
      <w:r w:rsidR="00FB7C38" w:rsidRPr="005A1210">
        <w:rPr>
          <w:rFonts w:ascii="Bookman Old Style" w:eastAsia="Times" w:hAnsi="Bookman Old Style" w:cs="Times"/>
          <w:lang w:val="es-ES"/>
        </w:rPr>
        <w:t>218</w:t>
      </w:r>
      <w:r w:rsidRPr="005A1210">
        <w:rPr>
          <w:rFonts w:ascii="Bookman Old Style" w:eastAsia="Times" w:hAnsi="Bookman Old Style" w:cs="Times"/>
          <w:lang w:val="es-ES"/>
        </w:rPr>
        <w:t xml:space="preserve"> de 2024 Cámara, </w:t>
      </w:r>
      <w:r w:rsidR="00FB7C38" w:rsidRPr="005A1210">
        <w:rPr>
          <w:rFonts w:ascii="Bookman Old Style" w:eastAsia="Times" w:hAnsi="Bookman Old Style" w:cs="Times"/>
          <w:lang w:val="es-ES"/>
        </w:rPr>
        <w:t>144</w:t>
      </w:r>
      <w:r w:rsidRPr="005A1210">
        <w:rPr>
          <w:rFonts w:ascii="Bookman Old Style" w:eastAsia="Times" w:hAnsi="Bookman Old Style" w:cs="Times"/>
          <w:lang w:val="es-ES"/>
        </w:rPr>
        <w:t>-2023 Senado.</w:t>
      </w:r>
    </w:p>
    <w:p w:rsidR="00536848" w:rsidRPr="005A1210" w:rsidRDefault="00536848" w:rsidP="00536848">
      <w:pPr>
        <w:pStyle w:val="Prrafodelista"/>
        <w:ind w:left="0"/>
        <w:jc w:val="center"/>
        <w:rPr>
          <w:rFonts w:ascii="Bookman Old Style" w:eastAsia="Times" w:hAnsi="Bookman Old Style" w:cs="Times"/>
          <w:b/>
          <w:lang w:val="es-ES"/>
        </w:rPr>
      </w:pPr>
    </w:p>
    <w:p w:rsidR="00767DD3" w:rsidRPr="00767DD3" w:rsidRDefault="00767DD3" w:rsidP="00767DD3">
      <w:pPr>
        <w:autoSpaceDE w:val="0"/>
        <w:autoSpaceDN w:val="0"/>
        <w:adjustRightInd w:val="0"/>
        <w:spacing w:after="0" w:line="276" w:lineRule="auto"/>
        <w:jc w:val="center"/>
        <w:rPr>
          <w:rFonts w:ascii="Bookman Old Style" w:eastAsia="Aptos" w:hAnsi="Bookman Old Style" w:cs="Times New Roman"/>
          <w:b/>
          <w:color w:val="000000"/>
        </w:rPr>
      </w:pPr>
      <w:r w:rsidRPr="005A1210">
        <w:rPr>
          <w:rFonts w:ascii="Bookman Old Style" w:eastAsia="Aptos" w:hAnsi="Bookman Old Style" w:cs="Times New Roman"/>
          <w:b/>
          <w:i/>
          <w:color w:val="000000"/>
          <w:lang w:val="es-ES_tradnl"/>
        </w:rPr>
        <w:t>“POR LA CUAL SE CREAN LOS CENTROS REGIONALES DE BIENESTAR ANIMAL, SE FORMULAN LINEAMIENTOS PARA SU ADECUACIÓN, OPERACIÓN Y FUNCIONAMIENTO Y SE DICTAN OTRAS DISPOSICIONES”</w:t>
      </w:r>
    </w:p>
    <w:p w:rsidR="00767DD3" w:rsidRPr="005A1210" w:rsidRDefault="00767DD3" w:rsidP="00767DD3">
      <w:pPr>
        <w:autoSpaceDE w:val="0"/>
        <w:autoSpaceDN w:val="0"/>
        <w:adjustRightInd w:val="0"/>
        <w:spacing w:after="0" w:line="276" w:lineRule="auto"/>
        <w:jc w:val="center"/>
        <w:rPr>
          <w:rFonts w:ascii="Bookman Old Style" w:eastAsia="Aptos" w:hAnsi="Bookman Old Style" w:cs="Times New Roman"/>
          <w:b/>
          <w:color w:val="000000"/>
        </w:rPr>
      </w:pPr>
    </w:p>
    <w:p w:rsidR="00767DD3" w:rsidRPr="00767DD3" w:rsidRDefault="00767DD3" w:rsidP="00767DD3">
      <w:pPr>
        <w:autoSpaceDE w:val="0"/>
        <w:autoSpaceDN w:val="0"/>
        <w:adjustRightInd w:val="0"/>
        <w:spacing w:after="0" w:line="276" w:lineRule="auto"/>
        <w:jc w:val="center"/>
        <w:rPr>
          <w:rFonts w:ascii="Bookman Old Style" w:eastAsia="Aptos" w:hAnsi="Bookman Old Style" w:cs="Times New Roman"/>
          <w:b/>
          <w:color w:val="000000"/>
        </w:rPr>
      </w:pPr>
      <w:r w:rsidRPr="00767DD3">
        <w:rPr>
          <w:rFonts w:ascii="Bookman Old Style" w:eastAsia="Aptos" w:hAnsi="Bookman Old Style" w:cs="Times New Roman"/>
          <w:b/>
          <w:color w:val="000000"/>
        </w:rPr>
        <w:t>El Congreso de Colombia</w:t>
      </w:r>
    </w:p>
    <w:p w:rsidR="00767DD3" w:rsidRPr="00767DD3" w:rsidRDefault="00767DD3" w:rsidP="00767DD3">
      <w:pPr>
        <w:autoSpaceDE w:val="0"/>
        <w:autoSpaceDN w:val="0"/>
        <w:adjustRightInd w:val="0"/>
        <w:spacing w:after="0" w:line="276" w:lineRule="auto"/>
        <w:jc w:val="center"/>
        <w:rPr>
          <w:rFonts w:ascii="Bookman Old Style" w:eastAsia="Aptos" w:hAnsi="Bookman Old Style" w:cs="Times New Roman"/>
          <w:b/>
          <w:color w:val="000000"/>
        </w:rPr>
      </w:pPr>
    </w:p>
    <w:p w:rsidR="00767DD3" w:rsidRPr="00767DD3" w:rsidRDefault="00767DD3" w:rsidP="00767DD3">
      <w:pPr>
        <w:autoSpaceDE w:val="0"/>
        <w:autoSpaceDN w:val="0"/>
        <w:adjustRightInd w:val="0"/>
        <w:spacing w:after="0" w:line="276" w:lineRule="auto"/>
        <w:jc w:val="center"/>
        <w:rPr>
          <w:rFonts w:ascii="Bookman Old Style" w:eastAsia="Aptos" w:hAnsi="Bookman Old Style" w:cs="Times New Roman"/>
          <w:b/>
          <w:lang w:val="es-ES_tradnl"/>
        </w:rPr>
      </w:pPr>
      <w:r w:rsidRPr="00767DD3">
        <w:rPr>
          <w:rFonts w:ascii="Bookman Old Style" w:eastAsia="Aptos" w:hAnsi="Bookman Old Style" w:cs="Times New Roman"/>
          <w:b/>
          <w:color w:val="000000"/>
        </w:rPr>
        <w:t>DECRETA</w:t>
      </w:r>
    </w:p>
    <w:p w:rsidR="00767DD3" w:rsidRPr="00767DD3" w:rsidRDefault="00767DD3" w:rsidP="00767DD3">
      <w:pPr>
        <w:spacing w:after="0" w:line="276" w:lineRule="auto"/>
        <w:rPr>
          <w:rFonts w:ascii="Bookman Old Style" w:eastAsia="Aptos" w:hAnsi="Bookman Old Style" w:cs="Times New Roman"/>
          <w:lang w:val="es-ES_tradnl"/>
        </w:rPr>
      </w:pPr>
    </w:p>
    <w:p w:rsidR="00767DD3" w:rsidRPr="00767DD3" w:rsidRDefault="00767DD3" w:rsidP="00767DD3">
      <w:pPr>
        <w:spacing w:after="0" w:line="276" w:lineRule="auto"/>
        <w:rPr>
          <w:rFonts w:ascii="Bookman Old Style" w:eastAsia="Aptos" w:hAnsi="Bookman Old Style" w:cs="Times New Roman"/>
          <w:b/>
          <w:lang w:val="es-ES_tradnl"/>
        </w:rPr>
      </w:pPr>
      <w:r w:rsidRPr="00767DD3">
        <w:rPr>
          <w:rFonts w:ascii="Bookman Old Style" w:eastAsia="Aptos" w:hAnsi="Bookman Old Style" w:cs="Times New Roman"/>
          <w:b/>
          <w:lang w:val="es-ES_tradnl"/>
        </w:rPr>
        <w:t xml:space="preserve">ARTÍCULO 1. OBJETO: </w:t>
      </w:r>
      <w:r w:rsidRPr="00767DD3">
        <w:rPr>
          <w:rFonts w:ascii="Bookman Old Style" w:eastAsia="Aptos" w:hAnsi="Bookman Old Style" w:cs="Times New Roman"/>
          <w:bCs/>
          <w:lang w:val="es-ES_tradnl"/>
        </w:rPr>
        <w:t>Crear los Centros Regionales de Bienestar Animal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y formular los lineamientos generales para su construcción, adecuación, operación y funcionamiento.</w:t>
      </w:r>
    </w:p>
    <w:p w:rsidR="00767DD3" w:rsidRPr="00767DD3" w:rsidRDefault="00767DD3" w:rsidP="00767DD3">
      <w:pPr>
        <w:spacing w:after="0" w:line="276" w:lineRule="auto"/>
        <w:rPr>
          <w:rFonts w:ascii="Bookman Old Style" w:eastAsia="Aptos" w:hAnsi="Bookman Old Style" w:cs="Times New Roman"/>
          <w:b/>
          <w:lang w:val="es-ES_tradnl"/>
        </w:rPr>
      </w:pPr>
    </w:p>
    <w:p w:rsidR="00767DD3" w:rsidRPr="00767DD3" w:rsidRDefault="00767DD3" w:rsidP="00767DD3">
      <w:pPr>
        <w:spacing w:after="0" w:line="276" w:lineRule="auto"/>
        <w:rPr>
          <w:rFonts w:ascii="Bookman Old Style" w:eastAsia="Aptos" w:hAnsi="Bookman Old Style" w:cs="Times New Roman"/>
          <w:b/>
          <w:lang w:val="es-ES_tradnl"/>
        </w:rPr>
      </w:pPr>
      <w:r w:rsidRPr="00767DD3">
        <w:rPr>
          <w:rFonts w:ascii="Bookman Old Style" w:eastAsia="Aptos" w:hAnsi="Bookman Old Style" w:cs="Times New Roman"/>
          <w:b/>
          <w:lang w:val="es-ES_tradnl"/>
        </w:rPr>
        <w:t xml:space="preserve">ARTÍCULO 2. DEFINICIÓN: </w:t>
      </w:r>
      <w:r w:rsidRPr="00767DD3">
        <w:rPr>
          <w:rFonts w:ascii="Bookman Old Style" w:eastAsia="Aptos" w:hAnsi="Bookman Old Style" w:cs="Times New Roman"/>
          <w:bCs/>
          <w:lang w:val="es-ES_tradnl"/>
        </w:rPr>
        <w:t>Los Centros Regionales de Bienestar Animal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son los que pueden adecuar o construir y operar conjuntamente las alcaldías municipales o distritales,</w:t>
      </w:r>
      <w:r w:rsidR="005A1210">
        <w:rPr>
          <w:rFonts w:ascii="Bookman Old Style" w:eastAsia="Aptos" w:hAnsi="Bookman Old Style" w:cs="Times New Roman"/>
          <w:bCs/>
          <w:lang w:val="es-ES_tradnl"/>
        </w:rPr>
        <w:t xml:space="preserve"> en asociación con entidades del orden departamental,</w:t>
      </w:r>
      <w:r w:rsidRPr="00767DD3">
        <w:rPr>
          <w:rFonts w:ascii="Bookman Old Style" w:eastAsia="Aptos" w:hAnsi="Bookman Old Style" w:cs="Times New Roman"/>
          <w:bCs/>
          <w:lang w:val="es-ES_tradnl"/>
        </w:rPr>
        <w:t xml:space="preserve"> según su capacidad financiera y organización administrativa (provincial, regional, etc.) con el acompañamiento de las gobernaciones departamentales, para brindar custodia temporal, en aras de atender, cuidar, proteger y dar en adopción a animales domésticos que hayan sido rescatados, aprehendidos preventivamente por procesos policivos o recibidos para procedimientos médico veterinarios o de cuidado temporal, de acuerdo con los lineamientos establecidos por el Ministerio de Ambiente y Desarrollo Sostenible (</w:t>
      </w:r>
      <w:proofErr w:type="spellStart"/>
      <w:r w:rsidRPr="00767DD3">
        <w:rPr>
          <w:rFonts w:ascii="Bookman Old Style" w:eastAsia="Aptos" w:hAnsi="Bookman Old Style" w:cs="Times New Roman"/>
          <w:bCs/>
          <w:lang w:val="es-ES_tradnl"/>
        </w:rPr>
        <w:t>MADS</w:t>
      </w:r>
      <w:proofErr w:type="spellEnd"/>
      <w:r w:rsidRPr="00767DD3">
        <w:rPr>
          <w:rFonts w:ascii="Bookman Old Style" w:eastAsia="Aptos" w:hAnsi="Bookman Old Style" w:cs="Times New Roman"/>
          <w:bCs/>
          <w:lang w:val="es-ES_tradnl"/>
        </w:rPr>
        <w:t xml:space="preserve">) en el marco del Sistema Nacional de Protección y Bienestar Animal - </w:t>
      </w:r>
      <w:proofErr w:type="spellStart"/>
      <w:r w:rsidRPr="00767DD3">
        <w:rPr>
          <w:rFonts w:ascii="Bookman Old Style" w:eastAsia="Aptos" w:hAnsi="Bookman Old Style" w:cs="Times New Roman"/>
          <w:bCs/>
          <w:lang w:val="es-ES_tradnl"/>
        </w:rPr>
        <w:t>SINAPYBA</w:t>
      </w:r>
      <w:proofErr w:type="spellEnd"/>
      <w:r w:rsidRPr="00767DD3">
        <w:rPr>
          <w:rFonts w:ascii="Bookman Old Style" w:eastAsia="Aptos" w:hAnsi="Bookman Old Style" w:cs="Times New Roman"/>
          <w:bCs/>
          <w:lang w:val="es-ES_tradnl"/>
        </w:rPr>
        <w:t>.</w:t>
      </w:r>
    </w:p>
    <w:p w:rsidR="00767DD3" w:rsidRPr="00767DD3" w:rsidRDefault="00767DD3" w:rsidP="00767DD3">
      <w:pPr>
        <w:spacing w:after="0" w:line="276" w:lineRule="auto"/>
        <w:rPr>
          <w:rFonts w:ascii="Bookman Old Style" w:eastAsia="Aptos" w:hAnsi="Bookman Old Style" w:cs="Times New Roman"/>
          <w:b/>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Parágrafo. </w:t>
      </w:r>
      <w:r w:rsidRPr="00767DD3">
        <w:rPr>
          <w:rFonts w:ascii="Bookman Old Style" w:eastAsia="Aptos" w:hAnsi="Bookman Old Style" w:cs="Times New Roman"/>
          <w:bCs/>
          <w:lang w:val="es-ES_tradnl"/>
        </w:rPr>
        <w:t>Los Departamentos podrán apoyar la construcción, adecuación, dotación y atención médico veterinaria de los Centros Regionales de Bienestar Animal, según su disponibilidad presupuestal y sin afectar el marco fiscal de mediano plazo. Igualmente, podrán implementar un protocolo de identificación y registro de los Centros Regionales y Municipales de bienestar animal y albergues privados de fauna doméstica, con el fin de conformar una red departamental para articular acciones.</w:t>
      </w:r>
    </w:p>
    <w:p w:rsidR="00767DD3" w:rsidRPr="00767DD3" w:rsidRDefault="00767DD3" w:rsidP="00767DD3">
      <w:pPr>
        <w:spacing w:after="0" w:line="276" w:lineRule="auto"/>
        <w:rPr>
          <w:rFonts w:ascii="Bookman Old Style" w:eastAsia="Aptos" w:hAnsi="Bookman Old Style" w:cs="Times New Roman"/>
          <w:b/>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ARTÍCULO 3. PLAN DE ACCIÓN Y COMPETENCIA: </w:t>
      </w:r>
      <w:r w:rsidRPr="00767DD3">
        <w:rPr>
          <w:rFonts w:ascii="Bookman Old Style" w:eastAsia="Aptos" w:hAnsi="Bookman Old Style" w:cs="Times New Roman"/>
          <w:bCs/>
          <w:lang w:val="es-ES_tradnl"/>
        </w:rPr>
        <w:t xml:space="preserve">En un plazo máximo de tres (3) meses, contados a partir de la expedición de la ley, el </w:t>
      </w:r>
      <w:proofErr w:type="spellStart"/>
      <w:r w:rsidRPr="00767DD3">
        <w:rPr>
          <w:rFonts w:ascii="Bookman Old Style" w:eastAsia="Aptos" w:hAnsi="Bookman Old Style" w:cs="Times New Roman"/>
          <w:bCs/>
          <w:lang w:val="es-ES_tradnl"/>
        </w:rPr>
        <w:t>MADS</w:t>
      </w:r>
      <w:proofErr w:type="spellEnd"/>
      <w:r w:rsidRPr="00767DD3">
        <w:rPr>
          <w:rFonts w:ascii="Bookman Old Style" w:eastAsia="Aptos" w:hAnsi="Bookman Old Style" w:cs="Times New Roman"/>
          <w:bCs/>
          <w:lang w:val="es-ES_tradnl"/>
        </w:rPr>
        <w:t xml:space="preserve"> formulará el Plan de Centros Regionales de Bienestar Animal (Plan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xml:space="preserve">) en el que establecerá los requisitos mínimos que deberán cumplir estos predios y reglamentará los criterios de diseño, construcción o adecuación y funcionamiento de los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especificando:</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
          <w:lang w:val="es-ES_tradnl"/>
        </w:rPr>
      </w:pPr>
      <w:r w:rsidRPr="00767DD3">
        <w:rPr>
          <w:rFonts w:ascii="Bookman Old Style" w:eastAsia="Aptos" w:hAnsi="Bookman Old Style" w:cs="Times New Roman"/>
          <w:b/>
          <w:lang w:val="es-ES_tradnl"/>
        </w:rPr>
        <w:t>3.1</w:t>
      </w:r>
      <w:r w:rsidRPr="00767DD3">
        <w:rPr>
          <w:rFonts w:ascii="Bookman Old Style" w:eastAsia="Aptos" w:hAnsi="Bookman Old Style" w:cs="Times New Roman"/>
          <w:b/>
          <w:lang w:val="es-ES_tradnl"/>
        </w:rPr>
        <w:tab/>
      </w:r>
      <w:r w:rsidRPr="00767DD3">
        <w:rPr>
          <w:rFonts w:ascii="Bookman Old Style" w:eastAsia="Aptos" w:hAnsi="Bookman Old Style" w:cs="Times New Roman"/>
          <w:bCs/>
          <w:lang w:val="es-ES_tradnl"/>
        </w:rPr>
        <w:t>Criterios de ingreso de los animales.</w:t>
      </w: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3.2</w:t>
      </w:r>
      <w:r w:rsidRPr="00767DD3">
        <w:rPr>
          <w:rFonts w:ascii="Bookman Old Style" w:eastAsia="Aptos" w:hAnsi="Bookman Old Style" w:cs="Times New Roman"/>
          <w:b/>
          <w:lang w:val="es-ES_tradnl"/>
        </w:rPr>
        <w:tab/>
      </w:r>
      <w:r w:rsidRPr="00767DD3">
        <w:rPr>
          <w:rFonts w:ascii="Bookman Old Style" w:eastAsia="Aptos" w:hAnsi="Bookman Old Style" w:cs="Times New Roman"/>
          <w:bCs/>
          <w:lang w:val="es-ES_tradnl"/>
        </w:rPr>
        <w:t>Protocolos de manejo veterinario y de albergue.</w:t>
      </w:r>
    </w:p>
    <w:p w:rsidR="00767DD3" w:rsidRPr="00767DD3" w:rsidRDefault="00767DD3" w:rsidP="00767DD3">
      <w:pPr>
        <w:spacing w:after="0" w:line="276" w:lineRule="auto"/>
        <w:rPr>
          <w:rFonts w:ascii="Bookman Old Style" w:eastAsia="Aptos" w:hAnsi="Bookman Old Style" w:cs="Times New Roman"/>
          <w:b/>
          <w:lang w:val="es-ES_tradnl"/>
        </w:rPr>
      </w:pPr>
      <w:r w:rsidRPr="00767DD3">
        <w:rPr>
          <w:rFonts w:ascii="Bookman Old Style" w:eastAsia="Aptos" w:hAnsi="Bookman Old Style" w:cs="Times New Roman"/>
          <w:b/>
          <w:lang w:val="es-ES_tradnl"/>
        </w:rPr>
        <w:t>3.3</w:t>
      </w:r>
      <w:r w:rsidRPr="00767DD3">
        <w:rPr>
          <w:rFonts w:ascii="Bookman Old Style" w:eastAsia="Aptos" w:hAnsi="Bookman Old Style" w:cs="Times New Roman"/>
          <w:b/>
          <w:lang w:val="es-ES_tradnl"/>
        </w:rPr>
        <w:tab/>
      </w:r>
      <w:r w:rsidRPr="00767DD3">
        <w:rPr>
          <w:rFonts w:ascii="Bookman Old Style" w:eastAsia="Aptos" w:hAnsi="Bookman Old Style" w:cs="Times New Roman"/>
          <w:bCs/>
          <w:lang w:val="es-ES_tradnl"/>
        </w:rPr>
        <w:t>Programas de adopción.</w:t>
      </w:r>
    </w:p>
    <w:p w:rsidR="00767DD3" w:rsidRPr="00767DD3" w:rsidRDefault="00767DD3" w:rsidP="00767DD3">
      <w:pPr>
        <w:spacing w:after="0" w:line="276" w:lineRule="auto"/>
        <w:rPr>
          <w:rFonts w:ascii="Bookman Old Style" w:eastAsia="Aptos" w:hAnsi="Bookman Old Style" w:cs="Times New Roman"/>
          <w:b/>
          <w:lang w:val="es-ES_tradnl"/>
        </w:rPr>
      </w:pPr>
      <w:r w:rsidRPr="00767DD3">
        <w:rPr>
          <w:rFonts w:ascii="Bookman Old Style" w:eastAsia="Aptos" w:hAnsi="Bookman Old Style" w:cs="Times New Roman"/>
          <w:b/>
          <w:lang w:val="es-ES_tradnl"/>
        </w:rPr>
        <w:t>3.4</w:t>
      </w:r>
      <w:r w:rsidRPr="00767DD3">
        <w:rPr>
          <w:rFonts w:ascii="Bookman Old Style" w:eastAsia="Aptos" w:hAnsi="Bookman Old Style" w:cs="Times New Roman"/>
          <w:b/>
          <w:lang w:val="es-ES_tradnl"/>
        </w:rPr>
        <w:tab/>
      </w:r>
      <w:r w:rsidRPr="00767DD3">
        <w:rPr>
          <w:rFonts w:ascii="Bookman Old Style" w:eastAsia="Aptos" w:hAnsi="Bookman Old Style" w:cs="Times New Roman"/>
          <w:bCs/>
          <w:lang w:val="es-ES_tradnl"/>
        </w:rPr>
        <w:t>Participación comunitaria.</w:t>
      </w:r>
    </w:p>
    <w:p w:rsidR="00767DD3" w:rsidRPr="00767DD3" w:rsidRDefault="00767DD3" w:rsidP="00767DD3">
      <w:pPr>
        <w:spacing w:after="0" w:line="276" w:lineRule="auto"/>
        <w:rPr>
          <w:rFonts w:ascii="Bookman Old Style" w:eastAsia="Aptos" w:hAnsi="Bookman Old Style" w:cs="Times New Roman"/>
          <w:b/>
          <w:lang w:val="es-ES_tradnl"/>
        </w:rPr>
      </w:pPr>
      <w:r w:rsidRPr="00767DD3">
        <w:rPr>
          <w:rFonts w:ascii="Bookman Old Style" w:eastAsia="Aptos" w:hAnsi="Bookman Old Style" w:cs="Times New Roman"/>
          <w:b/>
          <w:lang w:val="es-ES_tradnl"/>
        </w:rPr>
        <w:t>3.5</w:t>
      </w:r>
      <w:r w:rsidRPr="00767DD3">
        <w:rPr>
          <w:rFonts w:ascii="Bookman Old Style" w:eastAsia="Aptos" w:hAnsi="Bookman Old Style" w:cs="Times New Roman"/>
          <w:b/>
          <w:lang w:val="es-ES_tradnl"/>
        </w:rPr>
        <w:tab/>
      </w:r>
      <w:r w:rsidRPr="00767DD3">
        <w:rPr>
          <w:rFonts w:ascii="Bookman Old Style" w:eastAsia="Aptos" w:hAnsi="Bookman Old Style" w:cs="Times New Roman"/>
          <w:bCs/>
          <w:lang w:val="es-ES_tradnl"/>
        </w:rPr>
        <w:t>Servicios ofrecidos.</w:t>
      </w:r>
    </w:p>
    <w:p w:rsidR="00767DD3" w:rsidRPr="00767DD3" w:rsidRDefault="00767DD3" w:rsidP="00767DD3">
      <w:pPr>
        <w:spacing w:after="0" w:line="276" w:lineRule="auto"/>
        <w:rPr>
          <w:rFonts w:ascii="Bookman Old Style" w:eastAsia="Aptos" w:hAnsi="Bookman Old Style" w:cs="Times New Roman"/>
          <w:b/>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Parágrafo. </w:t>
      </w:r>
      <w:r w:rsidRPr="00767DD3">
        <w:rPr>
          <w:rFonts w:ascii="Bookman Old Style" w:eastAsia="Aptos" w:hAnsi="Bookman Old Style" w:cs="Times New Roman"/>
          <w:bCs/>
          <w:lang w:val="es-ES_tradnl"/>
        </w:rPr>
        <w:t>Este Plan se enmarcará en el Sistema Nacional de Protección y Bienestar Animal (</w:t>
      </w:r>
      <w:proofErr w:type="spellStart"/>
      <w:r w:rsidRPr="00767DD3">
        <w:rPr>
          <w:rFonts w:ascii="Bookman Old Style" w:eastAsia="Aptos" w:hAnsi="Bookman Old Style" w:cs="Times New Roman"/>
          <w:bCs/>
          <w:lang w:val="es-ES_tradnl"/>
        </w:rPr>
        <w:t>SINAPYBA</w:t>
      </w:r>
      <w:proofErr w:type="spellEnd"/>
      <w:r w:rsidRPr="00767DD3">
        <w:rPr>
          <w:rFonts w:ascii="Bookman Old Style" w:eastAsia="Aptos" w:hAnsi="Bookman Old Style" w:cs="Times New Roman"/>
          <w:bCs/>
          <w:lang w:val="es-ES_tradnl"/>
        </w:rPr>
        <w:t>) y podrá actualizarse periódicamente según las consideraciones técnicas y administrativas definidas por las entidades que conforman este sistema.</w:t>
      </w:r>
    </w:p>
    <w:p w:rsidR="00767DD3" w:rsidRPr="00767DD3" w:rsidRDefault="00767DD3" w:rsidP="00767DD3">
      <w:pPr>
        <w:spacing w:after="0" w:line="276" w:lineRule="auto"/>
        <w:rPr>
          <w:rFonts w:ascii="Bookman Old Style" w:eastAsia="Aptos" w:hAnsi="Bookman Old Style" w:cs="Times New Roman"/>
          <w:b/>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ARTÍCULO 4. BIENES: </w:t>
      </w:r>
      <w:r w:rsidRPr="00767DD3">
        <w:rPr>
          <w:rFonts w:ascii="Bookman Old Style" w:eastAsia="Aptos" w:hAnsi="Bookman Old Style" w:cs="Times New Roman"/>
          <w:bCs/>
          <w:lang w:val="es-ES_tradnl"/>
        </w:rPr>
        <w:t xml:space="preserve">Dentro de los tres (3) meses siguientes a la expedición del Plan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xml:space="preserve">, la Sociedad de Activos Especiales (SAE) deberá identificar y entregarle a cada una de las alcaldías municipales o distritales y/o gobernación departamental la información sobre la disponibilidad de predios sobre los que se declare la extinción de dominio y que puedan servir para la adecuación o construcción de los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xml:space="preserve">, atendiendo a la función social y ecológica de la propiedad de estos activos. La entrega de estos predios se regirá por los procedimientos de la SAE y su uso obedecerá al Plan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xml:space="preserve"> elaborado por el </w:t>
      </w:r>
      <w:proofErr w:type="spellStart"/>
      <w:r w:rsidRPr="00767DD3">
        <w:rPr>
          <w:rFonts w:ascii="Bookman Old Style" w:eastAsia="Aptos" w:hAnsi="Bookman Old Style" w:cs="Times New Roman"/>
          <w:bCs/>
          <w:lang w:val="es-ES_tradnl"/>
        </w:rPr>
        <w:t>MADS</w:t>
      </w:r>
      <w:proofErr w:type="spellEnd"/>
      <w:r w:rsidRPr="00767DD3">
        <w:rPr>
          <w:rFonts w:ascii="Bookman Old Style" w:eastAsia="Aptos" w:hAnsi="Bookman Old Style" w:cs="Times New Roman"/>
          <w:bCs/>
          <w:lang w:val="es-ES_tradnl"/>
        </w:rPr>
        <w:t>, previo acuerdo con las autoridades territoriales y según la normatividad vigente.</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Cs/>
          <w:lang w:val="es-ES_tradnl"/>
        </w:rPr>
        <w:t xml:space="preserve">Así mismo, la SAE podrá entregarles a las alcaldías municipales o distritales y/o gobernaciones vehículos sobre los que se declare la extinción de dominio, con el fin de que sean habilitados y utilizados para la atención de urgencias y denuncias por maltrato animal, en ejecución de los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Parágrafo. </w:t>
      </w:r>
      <w:r w:rsidRPr="00767DD3">
        <w:rPr>
          <w:rFonts w:ascii="Bookman Old Style" w:eastAsia="Aptos" w:hAnsi="Bookman Old Style" w:cs="Times New Roman"/>
          <w:bCs/>
          <w:lang w:val="es-ES_tradnl"/>
        </w:rPr>
        <w:t xml:space="preserve">Las entidades, fondos, sociedades de economía mixta, empresas industriales y comerciales del estado u otras que tengan dentro de sus competencias la administración, gestión o destino de bienes muebles o inmuebles, podrán concurrir al cumplimiento de lo dispuesto en la presente ley cuando tengan disponibilidad para gestionar o entregar predios o vehículos, principalmente, que, por sus condiciones, sean aptos para desarrollar el Plan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Para ello, las mencionadas entidades podrán celebrar contratos, convenios o acuerdos con las alcaldías municipales o distritales y/o gobernaciones.</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ARTÍCULO 5. OPERACIÓN: </w:t>
      </w:r>
      <w:r w:rsidRPr="00767DD3">
        <w:rPr>
          <w:rFonts w:ascii="Bookman Old Style" w:eastAsia="Aptos" w:hAnsi="Bookman Old Style" w:cs="Times New Roman"/>
          <w:bCs/>
          <w:lang w:val="es-ES_tradnl"/>
        </w:rPr>
        <w:t xml:space="preserve">Las gobernaciones departamentales y las alcaldías municipales o distritales definirán el sistema de administración y operación de los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xml:space="preserve">, buscando eficiencia en el gasto, bienestar animal y cobertura. En su diseño, el Plan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xml:space="preserve"> buscará que todos los municipios o distritos del país accedan a los servicios de cualquiera de los centros que existan en los departamentos correspondientes.</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Cs/>
          <w:lang w:val="es-ES_tradnl"/>
        </w:rPr>
        <w:t>Los municipios y distritos en los que ya se encuentre establecido un Centro de Bienestar Animal según lo dispuesto por la Ley 2054 de 2020, podrán transitar a Centros Regionales, siempre y cuando se cumplan con las condiciones establecidas en la presente ley y su reglamentación.</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Parágrafo. </w:t>
      </w:r>
      <w:r w:rsidRPr="00767DD3">
        <w:rPr>
          <w:rFonts w:ascii="Bookman Old Style" w:eastAsia="Aptos" w:hAnsi="Bookman Old Style" w:cs="Times New Roman"/>
          <w:bCs/>
          <w:lang w:val="es-ES_tradnl"/>
        </w:rPr>
        <w:t>Las universidades públicas y/o privadas que cuenten con facultades de veterinaria o zootecnia podrán apoyar con asistencia técnica a los Centro Regionales de Bienestar Animal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a través de las prácticas universitarias.</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ARTÍCULO 6. FUENTES DE FINANCIACIÓN: </w:t>
      </w:r>
      <w:r w:rsidRPr="00767DD3">
        <w:rPr>
          <w:rFonts w:ascii="Bookman Old Style" w:eastAsia="Aptos" w:hAnsi="Bookman Old Style" w:cs="Times New Roman"/>
          <w:bCs/>
          <w:lang w:val="es-ES_tradnl"/>
        </w:rPr>
        <w:t xml:space="preserve">Los municipios o distritos implementarán y ejecutarán los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según su ordenación administrativa, la disponibilidad presupuestal y el marco fiscal de mediano plazo. Además, podrán contar con el apoyo de las gobernaciones para tal fin.</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Cs/>
          <w:lang w:val="es-ES_tradnl"/>
        </w:rPr>
        <w:t xml:space="preserve">El </w:t>
      </w:r>
      <w:proofErr w:type="spellStart"/>
      <w:r w:rsidRPr="00767DD3">
        <w:rPr>
          <w:rFonts w:ascii="Bookman Old Style" w:eastAsia="Aptos" w:hAnsi="Bookman Old Style" w:cs="Times New Roman"/>
          <w:bCs/>
          <w:lang w:val="es-ES_tradnl"/>
        </w:rPr>
        <w:t>MADS</w:t>
      </w:r>
      <w:proofErr w:type="spellEnd"/>
      <w:r w:rsidRPr="00767DD3">
        <w:rPr>
          <w:rFonts w:ascii="Bookman Old Style" w:eastAsia="Aptos" w:hAnsi="Bookman Old Style" w:cs="Times New Roman"/>
          <w:bCs/>
          <w:lang w:val="es-ES_tradnl"/>
        </w:rPr>
        <w:t xml:space="preserve"> y las autoridades territoriales podrán identificar fuentes específicas de financiación territorial, nacional y/o de cooperación, que garanticen la sostenibilidad de estos centros, así como ofertar servicios propios de sus funciones, con el fin de recaudar recursos para la misma operación, acatando la normatividad vigente.</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PARÁGRAFO PRIMERO: </w:t>
      </w:r>
      <w:r w:rsidRPr="00767DD3">
        <w:rPr>
          <w:rFonts w:ascii="Bookman Old Style" w:eastAsia="Aptos" w:hAnsi="Bookman Old Style" w:cs="Times New Roman"/>
          <w:bCs/>
          <w:lang w:val="es-ES_tradnl"/>
        </w:rPr>
        <w:t>Las áreas y regiones metropolitanas podrán disponer recursos, concurrir y completar la financiación necesaria para ejecutar las estrategias de apoyo a las que se refiere la presente ley.</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PARÁGRAFO SEGUNDO: </w:t>
      </w:r>
      <w:r w:rsidRPr="00767DD3">
        <w:rPr>
          <w:rFonts w:ascii="Bookman Old Style" w:eastAsia="Aptos" w:hAnsi="Bookman Old Style" w:cs="Times New Roman"/>
          <w:bCs/>
          <w:lang w:val="es-ES_tradnl"/>
        </w:rPr>
        <w:t>Dos o más municipios circunvecinos</w:t>
      </w:r>
      <w:r w:rsidR="007C11BF">
        <w:rPr>
          <w:rFonts w:ascii="Bookman Old Style" w:eastAsia="Aptos" w:hAnsi="Bookman Old Style" w:cs="Times New Roman"/>
          <w:bCs/>
          <w:lang w:val="es-ES_tradnl"/>
        </w:rPr>
        <w:t xml:space="preserve"> o los municipios en asociación con entidades del orden departamental</w:t>
      </w:r>
      <w:r w:rsidRPr="00767DD3">
        <w:rPr>
          <w:rFonts w:ascii="Bookman Old Style" w:eastAsia="Aptos" w:hAnsi="Bookman Old Style" w:cs="Times New Roman"/>
          <w:bCs/>
          <w:lang w:val="es-ES_tradnl"/>
        </w:rPr>
        <w:t xml:space="preserve"> podrán suscribir convenios interadministrativos, con el fin de aunar esfuerzos conjuntos para la financiación, ejecución y operación, de los </w:t>
      </w:r>
      <w:proofErr w:type="spellStart"/>
      <w:r w:rsidRPr="00767DD3">
        <w:rPr>
          <w:rFonts w:ascii="Bookman Old Style" w:eastAsia="Aptos" w:hAnsi="Bookman Old Style" w:cs="Times New Roman"/>
          <w:bCs/>
          <w:lang w:val="es-ES_tradnl"/>
        </w:rPr>
        <w:t>CRBA</w:t>
      </w:r>
      <w:proofErr w:type="spellEnd"/>
      <w:r w:rsidRPr="00767DD3">
        <w:rPr>
          <w:rFonts w:ascii="Bookman Old Style" w:eastAsia="Aptos" w:hAnsi="Bookman Old Style" w:cs="Times New Roman"/>
          <w:bCs/>
          <w:lang w:val="es-ES_tradnl"/>
        </w:rPr>
        <w:t>, con el fin de que estos sean de beneficio general para los municipios firmantes. Dichos convenios podrán recibir cofinanciación de entidades del orden Departamental o Nacional.</w:t>
      </w:r>
    </w:p>
    <w:p w:rsidR="00767DD3" w:rsidRPr="00767DD3" w:rsidRDefault="00767DD3" w:rsidP="00767DD3">
      <w:pPr>
        <w:spacing w:after="0" w:line="276" w:lineRule="auto"/>
        <w:rPr>
          <w:rFonts w:ascii="Bookman Old Style" w:eastAsia="Aptos" w:hAnsi="Bookman Old Style" w:cs="Times New Roman"/>
          <w:bCs/>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PARÁGRAFO TERCERO. </w:t>
      </w:r>
      <w:r w:rsidRPr="00767DD3">
        <w:rPr>
          <w:rFonts w:ascii="Bookman Old Style" w:eastAsia="Aptos" w:hAnsi="Bookman Old Style" w:cs="Times New Roman"/>
          <w:bCs/>
          <w:lang w:val="es-ES_tradnl"/>
        </w:rPr>
        <w:t>Autorícese al Gobierno Nacional para que, en cumplimiento del Presupuesto General de la Nación, otorgue las partidas presupuestales a los departamentos y municipios que así lo requieran, para concurrir a la finalidad de la presente Ley.</w:t>
      </w:r>
    </w:p>
    <w:p w:rsidR="00767DD3" w:rsidRPr="00767DD3" w:rsidRDefault="00767DD3" w:rsidP="00767DD3">
      <w:pPr>
        <w:spacing w:after="0" w:line="276" w:lineRule="auto"/>
        <w:rPr>
          <w:rFonts w:ascii="Bookman Old Style" w:eastAsia="Aptos" w:hAnsi="Bookman Old Style" w:cs="Times New Roman"/>
          <w:b/>
          <w:lang w:val="es-ES_tradnl"/>
        </w:rPr>
      </w:pPr>
    </w:p>
    <w:p w:rsidR="00767DD3" w:rsidRPr="00767DD3" w:rsidRDefault="00767DD3" w:rsidP="00767DD3">
      <w:pPr>
        <w:spacing w:after="0" w:line="276" w:lineRule="auto"/>
        <w:rPr>
          <w:rFonts w:ascii="Bookman Old Style" w:eastAsia="Aptos" w:hAnsi="Bookman Old Style" w:cs="Times New Roman"/>
          <w:bCs/>
          <w:lang w:val="es-ES_tradnl"/>
        </w:rPr>
      </w:pPr>
      <w:r w:rsidRPr="00767DD3">
        <w:rPr>
          <w:rFonts w:ascii="Bookman Old Style" w:eastAsia="Aptos" w:hAnsi="Bookman Old Style" w:cs="Times New Roman"/>
          <w:b/>
          <w:lang w:val="es-ES_tradnl"/>
        </w:rPr>
        <w:t xml:space="preserve">ARTÍCULO 7. VIGENCIA Y DEROGATORIAS: </w:t>
      </w:r>
      <w:r w:rsidRPr="00767DD3">
        <w:rPr>
          <w:rFonts w:ascii="Bookman Old Style" w:eastAsia="Aptos" w:hAnsi="Bookman Old Style" w:cs="Times New Roman"/>
          <w:bCs/>
          <w:lang w:val="es-ES_tradnl"/>
        </w:rPr>
        <w:t>La presente ley rige a partir de la fecha de su promulgación y deroga todas las disposiciones que le sean contrarias.</w:t>
      </w:r>
    </w:p>
    <w:p w:rsidR="00767DD3" w:rsidRPr="00767DD3" w:rsidRDefault="00767DD3" w:rsidP="00767DD3">
      <w:pPr>
        <w:spacing w:after="0" w:line="276" w:lineRule="auto"/>
        <w:rPr>
          <w:rFonts w:ascii="Bookman Old Style" w:eastAsia="Aptos" w:hAnsi="Bookman Old Style" w:cs="Times New Roman"/>
          <w:lang w:val="es-ES_tradnl"/>
        </w:rPr>
      </w:pPr>
    </w:p>
    <w:p w:rsidR="00767DD3" w:rsidRPr="00767DD3" w:rsidRDefault="00767DD3" w:rsidP="00767DD3">
      <w:pPr>
        <w:autoSpaceDE w:val="0"/>
        <w:autoSpaceDN w:val="0"/>
        <w:adjustRightInd w:val="0"/>
        <w:spacing w:after="0" w:line="276" w:lineRule="auto"/>
        <w:rPr>
          <w:rFonts w:ascii="Bookman Old Style" w:eastAsia="Aptos" w:hAnsi="Bookman Old Style" w:cs="Times New Roman"/>
          <w:b/>
          <w:bCs/>
          <w:color w:val="000000"/>
        </w:rPr>
      </w:pPr>
    </w:p>
    <w:p w:rsidR="00767DD3" w:rsidRPr="00767DD3" w:rsidRDefault="00767DD3" w:rsidP="005A1210">
      <w:pPr>
        <w:spacing w:after="0" w:line="276" w:lineRule="auto"/>
        <w:jc w:val="left"/>
        <w:rPr>
          <w:rFonts w:ascii="Bookman Old Style" w:eastAsia="Aptos" w:hAnsi="Bookman Old Style" w:cs="Times New Roman"/>
          <w:b/>
        </w:rPr>
      </w:pPr>
      <w:bookmarkStart w:id="0" w:name="_GoBack"/>
      <w:bookmarkEnd w:id="0"/>
      <w:proofErr w:type="spellStart"/>
      <w:r w:rsidRPr="00767DD3">
        <w:rPr>
          <w:rFonts w:ascii="Bookman Old Style" w:eastAsia="Aptos" w:hAnsi="Bookman Old Style" w:cs="Times New Roman"/>
          <w:b/>
        </w:rPr>
        <w:t>ERMES</w:t>
      </w:r>
      <w:proofErr w:type="spellEnd"/>
      <w:r w:rsidRPr="00767DD3">
        <w:rPr>
          <w:rFonts w:ascii="Bookman Old Style" w:eastAsia="Aptos" w:hAnsi="Bookman Old Style" w:cs="Times New Roman"/>
          <w:b/>
        </w:rPr>
        <w:t xml:space="preserve"> EVELIO PETE VIVAS</w:t>
      </w:r>
    </w:p>
    <w:p w:rsidR="00767DD3" w:rsidRPr="005A1210" w:rsidRDefault="005A1210" w:rsidP="00767DD3">
      <w:pPr>
        <w:pStyle w:val="Prrafodelista"/>
        <w:ind w:left="0"/>
        <w:rPr>
          <w:rFonts w:ascii="Bookman Old Style" w:eastAsia="Times" w:hAnsi="Bookman Old Style" w:cs="Times"/>
          <w:lang w:val="es-ES"/>
        </w:rPr>
      </w:pPr>
      <w:r w:rsidRPr="005A1210">
        <w:rPr>
          <w:rFonts w:ascii="Bookman Old Style" w:eastAsia="Times" w:hAnsi="Bookman Old Style" w:cs="Times"/>
          <w:lang w:val="es-ES"/>
        </w:rPr>
        <w:t>Ponente</w:t>
      </w:r>
    </w:p>
    <w:p w:rsidR="002812C2" w:rsidRPr="005A1210" w:rsidRDefault="002812C2" w:rsidP="002812C2">
      <w:pPr>
        <w:pStyle w:val="Prrafodelista"/>
        <w:ind w:left="0"/>
        <w:rPr>
          <w:rFonts w:ascii="Bookman Old Style" w:eastAsia="Times New Roman" w:hAnsi="Bookman Old Style"/>
          <w:lang w:val="es-419" w:eastAsia="es-ES"/>
        </w:rPr>
      </w:pPr>
    </w:p>
    <w:p w:rsidR="002812C2" w:rsidRPr="005A1210" w:rsidRDefault="002812C2" w:rsidP="002812C2">
      <w:pPr>
        <w:pStyle w:val="Prrafodelista"/>
        <w:ind w:left="0"/>
        <w:rPr>
          <w:rFonts w:ascii="Bookman Old Style" w:eastAsia="Times New Roman" w:hAnsi="Bookman Old Style"/>
          <w:lang w:val="es-419" w:eastAsia="es-ES"/>
        </w:rPr>
      </w:pPr>
    </w:p>
    <w:p w:rsidR="002812C2" w:rsidRPr="005A1210" w:rsidRDefault="002812C2" w:rsidP="002812C2">
      <w:pPr>
        <w:pStyle w:val="Prrafodelista"/>
        <w:ind w:left="0"/>
        <w:rPr>
          <w:rFonts w:ascii="Bookman Old Style" w:eastAsia="Times New Roman" w:hAnsi="Bookman Old Style"/>
          <w:lang w:val="es-419" w:eastAsia="es-ES"/>
        </w:rPr>
      </w:pPr>
      <w:r w:rsidRPr="005A1210">
        <w:rPr>
          <w:rFonts w:ascii="Bookman Old Style" w:eastAsia="Times New Roman" w:hAnsi="Bookman Old Style"/>
          <w:b/>
          <w:lang w:val="es-419" w:eastAsia="es-ES"/>
        </w:rPr>
        <w:t>JOSÉ OCTAVIO CARDONA LEÓN</w:t>
      </w:r>
    </w:p>
    <w:p w:rsidR="002812C2" w:rsidRPr="005A1210" w:rsidRDefault="002812C2" w:rsidP="002812C2">
      <w:pPr>
        <w:pStyle w:val="Prrafodelista"/>
        <w:ind w:left="0"/>
        <w:rPr>
          <w:rFonts w:ascii="Bookman Old Style" w:eastAsia="Times New Roman" w:hAnsi="Bookman Old Style"/>
          <w:lang w:val="es-419" w:eastAsia="es-ES"/>
        </w:rPr>
      </w:pPr>
      <w:r w:rsidRPr="005A1210">
        <w:rPr>
          <w:rFonts w:ascii="Bookman Old Style" w:eastAsia="Times New Roman" w:hAnsi="Bookman Old Style"/>
          <w:lang w:val="es-419" w:eastAsia="es-ES"/>
        </w:rPr>
        <w:t>Presidente Comisión Quinta</w:t>
      </w:r>
    </w:p>
    <w:p w:rsidR="002812C2" w:rsidRPr="005A1210" w:rsidRDefault="002812C2" w:rsidP="002812C2">
      <w:pPr>
        <w:pStyle w:val="Prrafodelista"/>
        <w:ind w:left="0"/>
        <w:rPr>
          <w:rFonts w:ascii="Bookman Old Style" w:eastAsia="Times New Roman" w:hAnsi="Bookman Old Style"/>
          <w:lang w:val="es-419" w:eastAsia="es-ES"/>
        </w:rPr>
      </w:pPr>
    </w:p>
    <w:p w:rsidR="0059324D" w:rsidRPr="005A1210" w:rsidRDefault="006969C2" w:rsidP="002812C2">
      <w:pPr>
        <w:pStyle w:val="Prrafodelista"/>
        <w:ind w:left="0"/>
        <w:rPr>
          <w:rFonts w:ascii="Bookman Old Style" w:eastAsia="Times New Roman" w:hAnsi="Bookman Old Style"/>
          <w:lang w:val="es-419" w:eastAsia="es-ES"/>
        </w:rPr>
      </w:pPr>
      <w:r w:rsidRPr="005A1210">
        <w:rPr>
          <w:rFonts w:ascii="Bookman Old Style" w:eastAsia="Times New Roman" w:hAnsi="Bookman Old Style"/>
          <w:lang w:val="es-419" w:eastAsia="es-ES"/>
        </w:rPr>
        <w:tab/>
      </w:r>
      <w:r w:rsidR="0059324D" w:rsidRPr="005A1210">
        <w:rPr>
          <w:rFonts w:ascii="Bookman Old Style" w:eastAsia="Times New Roman" w:hAnsi="Bookman Old Style"/>
          <w:lang w:val="es-419" w:eastAsia="es-ES"/>
        </w:rPr>
        <w:t xml:space="preserve">                                            </w:t>
      </w:r>
      <w:r w:rsidR="0059324D" w:rsidRPr="005A1210">
        <w:rPr>
          <w:rFonts w:ascii="Bookman Old Style" w:eastAsia="Times New Roman" w:hAnsi="Bookman Old Style"/>
          <w:lang w:val="es-419" w:eastAsia="es-ES"/>
        </w:rPr>
        <w:tab/>
      </w:r>
      <w:r w:rsidR="0059324D" w:rsidRPr="005A1210">
        <w:rPr>
          <w:rFonts w:ascii="Bookman Old Style" w:eastAsia="Times New Roman" w:hAnsi="Bookman Old Style"/>
          <w:lang w:val="es-419" w:eastAsia="es-ES"/>
        </w:rPr>
        <w:tab/>
      </w:r>
    </w:p>
    <w:p w:rsidR="00FE56A8" w:rsidRPr="005A1210" w:rsidRDefault="00FE56A8" w:rsidP="002812C2">
      <w:pPr>
        <w:pStyle w:val="Prrafodelista"/>
        <w:ind w:left="0"/>
        <w:rPr>
          <w:rFonts w:ascii="Bookman Old Style" w:eastAsia="Times New Roman" w:hAnsi="Bookman Old Style"/>
          <w:b/>
          <w:lang w:eastAsia="es-ES"/>
        </w:rPr>
      </w:pPr>
      <w:r w:rsidRPr="005A1210">
        <w:rPr>
          <w:rFonts w:ascii="Bookman Old Style" w:eastAsia="Times New Roman" w:hAnsi="Bookman Old Style"/>
          <w:b/>
          <w:lang w:eastAsia="es-ES"/>
        </w:rPr>
        <w:t>CAMILO ERNESTO ROMERO GALVÁN.</w:t>
      </w:r>
    </w:p>
    <w:p w:rsidR="00FE56A8" w:rsidRPr="005A1210" w:rsidRDefault="00FE56A8" w:rsidP="002812C2">
      <w:pPr>
        <w:pStyle w:val="Prrafodelista"/>
        <w:ind w:left="0"/>
        <w:rPr>
          <w:rFonts w:ascii="Bookman Old Style" w:eastAsia="Times New Roman" w:hAnsi="Bookman Old Style"/>
          <w:lang w:eastAsia="es-ES"/>
        </w:rPr>
      </w:pPr>
      <w:r w:rsidRPr="005A1210">
        <w:rPr>
          <w:rFonts w:ascii="Bookman Old Style" w:eastAsia="Times New Roman" w:hAnsi="Bookman Old Style"/>
          <w:lang w:eastAsia="es-ES"/>
        </w:rPr>
        <w:t>Secretario Comisión Quinta</w:t>
      </w:r>
    </w:p>
    <w:p w:rsidR="00FE56A8" w:rsidRPr="005A1210" w:rsidRDefault="00FE56A8" w:rsidP="002812C2">
      <w:pPr>
        <w:pStyle w:val="Prrafodelista"/>
        <w:ind w:left="0"/>
        <w:rPr>
          <w:rFonts w:ascii="Bookman Old Style" w:hAnsi="Bookman Old Style"/>
        </w:rPr>
      </w:pPr>
      <w:r w:rsidRPr="005A1210">
        <w:rPr>
          <w:rFonts w:ascii="Bookman Old Style" w:eastAsia="Times New Roman" w:hAnsi="Bookman Old Style"/>
          <w:lang w:eastAsia="es-ES"/>
        </w:rPr>
        <w:t>Cámara de Representantes</w:t>
      </w:r>
      <w:r w:rsidRPr="005A1210">
        <w:rPr>
          <w:rFonts w:ascii="Bookman Old Style" w:hAnsi="Bookman Old Style"/>
        </w:rPr>
        <w:tab/>
      </w:r>
    </w:p>
    <w:p w:rsidR="00FE56A8" w:rsidRPr="005A1210" w:rsidRDefault="00526B28" w:rsidP="002812C2">
      <w:pPr>
        <w:pStyle w:val="Prrafodelista"/>
        <w:ind w:left="0"/>
        <w:rPr>
          <w:rFonts w:ascii="Bookman Old Style" w:eastAsia="Times" w:hAnsi="Bookman Old Style" w:cs="Times"/>
        </w:rPr>
      </w:pPr>
      <w:r w:rsidRPr="005A1210">
        <w:rPr>
          <w:rFonts w:ascii="Bookman Old Style" w:eastAsia="Times" w:hAnsi="Bookman Old Style" w:cs="Times"/>
        </w:rPr>
        <w:t xml:space="preserve">   </w:t>
      </w:r>
    </w:p>
    <w:p w:rsidR="006969C2" w:rsidRPr="009F0C9D" w:rsidRDefault="006969C2" w:rsidP="002812C2">
      <w:pPr>
        <w:pStyle w:val="Prrafodelista"/>
        <w:ind w:left="0"/>
        <w:rPr>
          <w:rFonts w:ascii="Bookman Old Style" w:eastAsia="Times" w:hAnsi="Bookman Old Style" w:cs="Times"/>
          <w:bCs/>
        </w:rPr>
      </w:pPr>
      <w:r w:rsidRPr="005A1210">
        <w:rPr>
          <w:rFonts w:ascii="Bookman Old Style" w:eastAsia="Times" w:hAnsi="Bookman Old Style" w:cs="Times"/>
          <w:lang w:val="es"/>
        </w:rPr>
        <w:t xml:space="preserve"> </w:t>
      </w:r>
      <w:r w:rsidRPr="005A1210">
        <w:rPr>
          <w:rFonts w:ascii="Bookman Old Style" w:eastAsia="Times" w:hAnsi="Bookman Old Style" w:cs="Times"/>
          <w:bCs/>
        </w:rPr>
        <w:t>La relación completa de la aprobación en primer debate del Proyecto de Ley consta en el Acta 01</w:t>
      </w:r>
      <w:r w:rsidR="008C2C16" w:rsidRPr="005A1210">
        <w:rPr>
          <w:rFonts w:ascii="Bookman Old Style" w:eastAsia="Times" w:hAnsi="Bookman Old Style" w:cs="Times"/>
          <w:bCs/>
        </w:rPr>
        <w:t>8</w:t>
      </w:r>
      <w:r w:rsidRPr="005A1210">
        <w:rPr>
          <w:rFonts w:ascii="Bookman Old Style" w:eastAsia="Times" w:hAnsi="Bookman Old Style" w:cs="Times"/>
          <w:bCs/>
        </w:rPr>
        <w:t xml:space="preserve">, correspondiente a la sesión realizada el día </w:t>
      </w:r>
      <w:r w:rsidR="008C2C16" w:rsidRPr="005A1210">
        <w:rPr>
          <w:rFonts w:ascii="Bookman Old Style" w:eastAsia="Times" w:hAnsi="Bookman Old Style" w:cs="Times"/>
          <w:bCs/>
        </w:rPr>
        <w:t>3</w:t>
      </w:r>
      <w:r w:rsidRPr="005A1210">
        <w:rPr>
          <w:rFonts w:ascii="Bookman Old Style" w:eastAsia="Times" w:hAnsi="Bookman Old Style" w:cs="Times"/>
          <w:bCs/>
        </w:rPr>
        <w:t xml:space="preserve"> de </w:t>
      </w:r>
      <w:r w:rsidR="00B50A9C" w:rsidRPr="005A1210">
        <w:rPr>
          <w:rFonts w:ascii="Bookman Old Style" w:eastAsia="Times" w:hAnsi="Bookman Old Style" w:cs="Times"/>
          <w:bCs/>
        </w:rPr>
        <w:t>diciembre</w:t>
      </w:r>
      <w:r w:rsidRPr="005A1210">
        <w:rPr>
          <w:rFonts w:ascii="Bookman Old Style" w:eastAsia="Times" w:hAnsi="Bookman Old Style" w:cs="Times"/>
          <w:bCs/>
        </w:rPr>
        <w:t xml:space="preserve"> de 2024; el anuncio de la votación del Pr</w:t>
      </w:r>
      <w:r w:rsidR="00E72921" w:rsidRPr="005A1210">
        <w:rPr>
          <w:rFonts w:ascii="Bookman Old Style" w:eastAsia="Times" w:hAnsi="Bookman Old Style" w:cs="Times"/>
          <w:bCs/>
        </w:rPr>
        <w:t>oyecto de ley se hizo el día 2</w:t>
      </w:r>
      <w:r w:rsidRPr="005A1210">
        <w:rPr>
          <w:rFonts w:ascii="Bookman Old Style" w:eastAsia="Times" w:hAnsi="Bookman Old Style" w:cs="Times"/>
          <w:bCs/>
        </w:rPr>
        <w:t xml:space="preserve"> de </w:t>
      </w:r>
      <w:r w:rsidR="00B50A9C" w:rsidRPr="005A1210">
        <w:rPr>
          <w:rFonts w:ascii="Bookman Old Style" w:eastAsia="Times" w:hAnsi="Bookman Old Style" w:cs="Times"/>
          <w:bCs/>
        </w:rPr>
        <w:t>diciembre de 2024, Acta No. 01</w:t>
      </w:r>
      <w:r w:rsidR="008C2C16" w:rsidRPr="005A1210">
        <w:rPr>
          <w:rFonts w:ascii="Bookman Old Style" w:eastAsia="Times" w:hAnsi="Bookman Old Style" w:cs="Times"/>
          <w:bCs/>
        </w:rPr>
        <w:t>7</w:t>
      </w:r>
      <w:r w:rsidRPr="005A1210">
        <w:rPr>
          <w:rFonts w:ascii="Bookman Old Style" w:eastAsia="Times" w:hAnsi="Bookman Old Style" w:cs="Times"/>
          <w:bCs/>
        </w:rPr>
        <w:t>, de acuerdo con el artículo 8 del Acto Legislativo 1 de 2003.</w:t>
      </w:r>
      <w:r w:rsidRPr="005A1210">
        <w:rPr>
          <w:rFonts w:ascii="Bookman Old Style" w:eastAsia="Times" w:hAnsi="Bookman Old Style" w:cs="Times"/>
        </w:rPr>
        <w:t xml:space="preserve"> </w:t>
      </w:r>
    </w:p>
    <w:sectPr w:rsidR="006969C2" w:rsidRPr="009F0C9D" w:rsidSect="00336491">
      <w:headerReference w:type="default" r:id="rId9"/>
      <w:pgSz w:w="12240" w:h="15840" w:code="1"/>
      <w:pgMar w:top="2160" w:right="1440" w:bottom="2160" w:left="216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B2" w:rsidRDefault="00BA73B2">
      <w:pPr>
        <w:spacing w:after="0" w:line="240" w:lineRule="auto"/>
      </w:pPr>
      <w:r>
        <w:separator/>
      </w:r>
    </w:p>
  </w:endnote>
  <w:endnote w:type="continuationSeparator" w:id="0">
    <w:p w:rsidR="00BA73B2" w:rsidRDefault="00B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ptos">
    <w:altName w:val="Arial"/>
    <w:charset w:val="00"/>
    <w:family w:val="swiss"/>
    <w:pitch w:val="variable"/>
    <w:sig w:usb0="00000001"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B2" w:rsidRDefault="00BA73B2">
      <w:pPr>
        <w:spacing w:after="0" w:line="240" w:lineRule="auto"/>
      </w:pPr>
      <w:r>
        <w:separator/>
      </w:r>
    </w:p>
  </w:footnote>
  <w:footnote w:type="continuationSeparator" w:id="0">
    <w:p w:rsidR="00BA73B2" w:rsidRDefault="00B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6AC1D00F" wp14:editId="2857B042">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22"/>
    <w:multiLevelType w:val="multilevel"/>
    <w:tmpl w:val="BAF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82130"/>
    <w:multiLevelType w:val="multilevel"/>
    <w:tmpl w:val="E23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50EE2"/>
    <w:multiLevelType w:val="hybridMultilevel"/>
    <w:tmpl w:val="4E9401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5C182D"/>
    <w:multiLevelType w:val="multilevel"/>
    <w:tmpl w:val="6D38633E"/>
    <w:lvl w:ilvl="0">
      <w:start w:val="3"/>
      <w:numFmt w:val="decimal"/>
      <w:lvlText w:val="%1."/>
      <w:lvlJc w:val="left"/>
      <w:pPr>
        <w:ind w:left="440" w:hanging="44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15:restartNumberingAfterBreak="0">
    <w:nsid w:val="1625348B"/>
    <w:multiLevelType w:val="hybridMultilevel"/>
    <w:tmpl w:val="F94C5D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12F70"/>
    <w:multiLevelType w:val="multilevel"/>
    <w:tmpl w:val="172EB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B6DF9"/>
    <w:multiLevelType w:val="multilevel"/>
    <w:tmpl w:val="7CE2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B52ED8"/>
    <w:multiLevelType w:val="multilevel"/>
    <w:tmpl w:val="A73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73075"/>
    <w:multiLevelType w:val="multilevel"/>
    <w:tmpl w:val="905818D0"/>
    <w:lvl w:ilvl="0">
      <w:start w:val="1"/>
      <w:numFmt w:val="decimal"/>
      <w:lvlText w:val="%1."/>
      <w:lvlJc w:val="left"/>
      <w:pPr>
        <w:ind w:left="42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D22B42"/>
    <w:multiLevelType w:val="multilevel"/>
    <w:tmpl w:val="708E53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2FA75BA7"/>
    <w:multiLevelType w:val="multilevel"/>
    <w:tmpl w:val="B742F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8802DE"/>
    <w:multiLevelType w:val="hybridMultilevel"/>
    <w:tmpl w:val="61E2A3EA"/>
    <w:lvl w:ilvl="0" w:tplc="DA488C8C">
      <w:start w:val="1"/>
      <w:numFmt w:val="lowerLetter"/>
      <w:lvlText w:val="%1)"/>
      <w:lvlJc w:val="left"/>
      <w:pPr>
        <w:ind w:left="720" w:hanging="360"/>
      </w:pPr>
      <w:rPr>
        <w:rFonts w:asciiTheme="minorHAnsi" w:eastAsia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892FEB"/>
    <w:multiLevelType w:val="hybridMultilevel"/>
    <w:tmpl w:val="9C2A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70867"/>
    <w:multiLevelType w:val="multilevel"/>
    <w:tmpl w:val="2FB6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926939"/>
    <w:multiLevelType w:val="hybridMultilevel"/>
    <w:tmpl w:val="9314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624CA"/>
    <w:multiLevelType w:val="hybridMultilevel"/>
    <w:tmpl w:val="3A94B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8E8033A"/>
    <w:multiLevelType w:val="hybridMultilevel"/>
    <w:tmpl w:val="CD8ACB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D04038"/>
    <w:multiLevelType w:val="hybridMultilevel"/>
    <w:tmpl w:val="D1FAFB00"/>
    <w:lvl w:ilvl="0" w:tplc="F2065A3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3F59E6"/>
    <w:multiLevelType w:val="multilevel"/>
    <w:tmpl w:val="39DC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612980"/>
    <w:multiLevelType w:val="hybridMultilevel"/>
    <w:tmpl w:val="9F365E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1E7406"/>
    <w:multiLevelType w:val="multilevel"/>
    <w:tmpl w:val="D322625E"/>
    <w:lvl w:ilvl="0">
      <w:start w:val="1"/>
      <w:numFmt w:val="decimal"/>
      <w:lvlText w:val="%1."/>
      <w:lvlJc w:val="left"/>
      <w:pPr>
        <w:ind w:left="1080" w:hanging="360"/>
      </w:pPr>
      <w:rPr>
        <w:color w:val="000000"/>
      </w:rPr>
    </w:lvl>
    <w:lvl w:ilvl="1">
      <w:start w:val="1"/>
      <w:numFmt w:val="lowerLetter"/>
      <w:lvlText w:val="%2."/>
      <w:lvlJc w:val="left"/>
      <w:pPr>
        <w:ind w:left="2095" w:hanging="360"/>
      </w:p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1" w15:restartNumberingAfterBreak="0">
    <w:nsid w:val="60B416CE"/>
    <w:multiLevelType w:val="multilevel"/>
    <w:tmpl w:val="5562E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72" w:hanging="49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31880"/>
    <w:multiLevelType w:val="multilevel"/>
    <w:tmpl w:val="426A5C1E"/>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23" w15:restartNumberingAfterBreak="0">
    <w:nsid w:val="66120559"/>
    <w:multiLevelType w:val="hybridMultilevel"/>
    <w:tmpl w:val="156AE886"/>
    <w:lvl w:ilvl="0" w:tplc="1138175C">
      <w:start w:val="6"/>
      <w:numFmt w:val="decimal"/>
      <w:lvlText w:val="%1."/>
      <w:lvlJc w:val="left"/>
      <w:pPr>
        <w:ind w:left="1080" w:hanging="360"/>
      </w:pPr>
      <w:rPr>
        <w:rFonts w:hint="default"/>
        <w:b/>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94F494F"/>
    <w:multiLevelType w:val="hybridMultilevel"/>
    <w:tmpl w:val="3496ECFC"/>
    <w:lvl w:ilvl="0" w:tplc="39FE163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DF938CE"/>
    <w:multiLevelType w:val="hybridMultilevel"/>
    <w:tmpl w:val="6DF6D180"/>
    <w:lvl w:ilvl="0" w:tplc="01321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3943D1"/>
    <w:multiLevelType w:val="multilevel"/>
    <w:tmpl w:val="C5F8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F1486D"/>
    <w:multiLevelType w:val="multilevel"/>
    <w:tmpl w:val="60424656"/>
    <w:lvl w:ilvl="0">
      <w:start w:val="1"/>
      <w:numFmt w:val="decimal"/>
      <w:lvlText w:val="%1."/>
      <w:lvlJc w:val="left"/>
      <w:pPr>
        <w:ind w:left="108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8" w15:restartNumberingAfterBreak="0">
    <w:nsid w:val="733D2E34"/>
    <w:multiLevelType w:val="multilevel"/>
    <w:tmpl w:val="61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57057E"/>
    <w:multiLevelType w:val="multilevel"/>
    <w:tmpl w:val="D5DE34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55C1088"/>
    <w:multiLevelType w:val="multilevel"/>
    <w:tmpl w:val="C5EEE1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900ACC"/>
    <w:multiLevelType w:val="hybridMultilevel"/>
    <w:tmpl w:val="4620B69E"/>
    <w:lvl w:ilvl="0" w:tplc="3F3E800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5"/>
  </w:num>
  <w:num w:numId="3">
    <w:abstractNumId w:val="1"/>
  </w:num>
  <w:num w:numId="4">
    <w:abstractNumId w:val="0"/>
  </w:num>
  <w:num w:numId="5">
    <w:abstractNumId w:val="26"/>
  </w:num>
  <w:num w:numId="6">
    <w:abstractNumId w:val="22"/>
  </w:num>
  <w:num w:numId="7">
    <w:abstractNumId w:val="6"/>
  </w:num>
  <w:num w:numId="8">
    <w:abstractNumId w:val="9"/>
  </w:num>
  <w:num w:numId="9">
    <w:abstractNumId w:val="31"/>
  </w:num>
  <w:num w:numId="10">
    <w:abstractNumId w:val="17"/>
  </w:num>
  <w:num w:numId="11">
    <w:abstractNumId w:val="13"/>
  </w:num>
  <w:num w:numId="12">
    <w:abstractNumId w:val="23"/>
  </w:num>
  <w:num w:numId="13">
    <w:abstractNumId w:val="2"/>
  </w:num>
  <w:num w:numId="14">
    <w:abstractNumId w:val="19"/>
  </w:num>
  <w:num w:numId="15">
    <w:abstractNumId w:val="11"/>
  </w:num>
  <w:num w:numId="16">
    <w:abstractNumId w:val="16"/>
  </w:num>
  <w:num w:numId="17">
    <w:abstractNumId w:val="25"/>
  </w:num>
  <w:num w:numId="18">
    <w:abstractNumId w:val="24"/>
  </w:num>
  <w:num w:numId="19">
    <w:abstractNumId w:val="29"/>
  </w:num>
  <w:num w:numId="20">
    <w:abstractNumId w:val="18"/>
  </w:num>
  <w:num w:numId="21">
    <w:abstractNumId w:val="12"/>
  </w:num>
  <w:num w:numId="22">
    <w:abstractNumId w:val="14"/>
  </w:num>
  <w:num w:numId="23">
    <w:abstractNumId w:val="30"/>
  </w:num>
  <w:num w:numId="24">
    <w:abstractNumId w:val="3"/>
  </w:num>
  <w:num w:numId="25">
    <w:abstractNumId w:val="7"/>
  </w:num>
  <w:num w:numId="26">
    <w:abstractNumId w:val="27"/>
  </w:num>
  <w:num w:numId="27">
    <w:abstractNumId w:val="20"/>
  </w:num>
  <w:num w:numId="28">
    <w:abstractNumId w:val="8"/>
  </w:num>
  <w:num w:numId="29">
    <w:abstractNumId w:val="4"/>
  </w:num>
  <w:num w:numId="30">
    <w:abstractNumId w:val="15"/>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75"/>
    <w:rsid w:val="00002810"/>
    <w:rsid w:val="00021512"/>
    <w:rsid w:val="00045EA7"/>
    <w:rsid w:val="00081FC7"/>
    <w:rsid w:val="000C7CAD"/>
    <w:rsid w:val="000D69EF"/>
    <w:rsid w:val="00163596"/>
    <w:rsid w:val="00171F51"/>
    <w:rsid w:val="00172FE3"/>
    <w:rsid w:val="001A525D"/>
    <w:rsid w:val="001B2039"/>
    <w:rsid w:val="001C7983"/>
    <w:rsid w:val="001D3BE3"/>
    <w:rsid w:val="002108B0"/>
    <w:rsid w:val="0023403F"/>
    <w:rsid w:val="002731C6"/>
    <w:rsid w:val="002812C2"/>
    <w:rsid w:val="0028184A"/>
    <w:rsid w:val="002952A7"/>
    <w:rsid w:val="00295CC4"/>
    <w:rsid w:val="002A6405"/>
    <w:rsid w:val="002B7882"/>
    <w:rsid w:val="00336491"/>
    <w:rsid w:val="00350EE5"/>
    <w:rsid w:val="0036236F"/>
    <w:rsid w:val="00374B5B"/>
    <w:rsid w:val="00383F76"/>
    <w:rsid w:val="003D4E45"/>
    <w:rsid w:val="003D6953"/>
    <w:rsid w:val="0040168C"/>
    <w:rsid w:val="00424620"/>
    <w:rsid w:val="00454FDD"/>
    <w:rsid w:val="004B5324"/>
    <w:rsid w:val="004F00E9"/>
    <w:rsid w:val="004F5899"/>
    <w:rsid w:val="005035BB"/>
    <w:rsid w:val="005119BB"/>
    <w:rsid w:val="005220B8"/>
    <w:rsid w:val="00526B28"/>
    <w:rsid w:val="00533344"/>
    <w:rsid w:val="00536848"/>
    <w:rsid w:val="0054049A"/>
    <w:rsid w:val="00547CAD"/>
    <w:rsid w:val="0057491E"/>
    <w:rsid w:val="0058523D"/>
    <w:rsid w:val="0059324D"/>
    <w:rsid w:val="005A1210"/>
    <w:rsid w:val="005B500B"/>
    <w:rsid w:val="005E458C"/>
    <w:rsid w:val="005E5A7A"/>
    <w:rsid w:val="0060125A"/>
    <w:rsid w:val="00603E3A"/>
    <w:rsid w:val="006603D8"/>
    <w:rsid w:val="006969C2"/>
    <w:rsid w:val="006C2888"/>
    <w:rsid w:val="006D4358"/>
    <w:rsid w:val="006D43EF"/>
    <w:rsid w:val="006F2B75"/>
    <w:rsid w:val="00701098"/>
    <w:rsid w:val="00734DC7"/>
    <w:rsid w:val="00740E24"/>
    <w:rsid w:val="00745E04"/>
    <w:rsid w:val="00750218"/>
    <w:rsid w:val="00765133"/>
    <w:rsid w:val="00767DD3"/>
    <w:rsid w:val="00782ECA"/>
    <w:rsid w:val="007C11BF"/>
    <w:rsid w:val="007C50A9"/>
    <w:rsid w:val="00817712"/>
    <w:rsid w:val="008243E9"/>
    <w:rsid w:val="00830906"/>
    <w:rsid w:val="00831B75"/>
    <w:rsid w:val="00884B44"/>
    <w:rsid w:val="008912A9"/>
    <w:rsid w:val="008C14E6"/>
    <w:rsid w:val="008C2C16"/>
    <w:rsid w:val="008F7D6D"/>
    <w:rsid w:val="00961A1C"/>
    <w:rsid w:val="009A3A04"/>
    <w:rsid w:val="009C186B"/>
    <w:rsid w:val="009C1F6E"/>
    <w:rsid w:val="009D27BD"/>
    <w:rsid w:val="009F0C9D"/>
    <w:rsid w:val="00A07BAC"/>
    <w:rsid w:val="00A37E1C"/>
    <w:rsid w:val="00A4642E"/>
    <w:rsid w:val="00A9229A"/>
    <w:rsid w:val="00AD5C61"/>
    <w:rsid w:val="00AE2004"/>
    <w:rsid w:val="00B077A7"/>
    <w:rsid w:val="00B12C37"/>
    <w:rsid w:val="00B21B1A"/>
    <w:rsid w:val="00B50A9C"/>
    <w:rsid w:val="00B622B1"/>
    <w:rsid w:val="00B951BB"/>
    <w:rsid w:val="00B97BDF"/>
    <w:rsid w:val="00BA274C"/>
    <w:rsid w:val="00BA73B2"/>
    <w:rsid w:val="00BB671D"/>
    <w:rsid w:val="00BC4BAC"/>
    <w:rsid w:val="00BC576A"/>
    <w:rsid w:val="00BC647D"/>
    <w:rsid w:val="00BD2ED1"/>
    <w:rsid w:val="00BD45D7"/>
    <w:rsid w:val="00BE5036"/>
    <w:rsid w:val="00C11EE4"/>
    <w:rsid w:val="00C268D7"/>
    <w:rsid w:val="00C44779"/>
    <w:rsid w:val="00C44A5C"/>
    <w:rsid w:val="00C507C3"/>
    <w:rsid w:val="00C56091"/>
    <w:rsid w:val="00C917AB"/>
    <w:rsid w:val="00C9294C"/>
    <w:rsid w:val="00CB3C28"/>
    <w:rsid w:val="00CF25DF"/>
    <w:rsid w:val="00D021DB"/>
    <w:rsid w:val="00D02E88"/>
    <w:rsid w:val="00D22AA3"/>
    <w:rsid w:val="00D7358B"/>
    <w:rsid w:val="00D93353"/>
    <w:rsid w:val="00DB2DAF"/>
    <w:rsid w:val="00DB42CD"/>
    <w:rsid w:val="00DC41C0"/>
    <w:rsid w:val="00DD68CC"/>
    <w:rsid w:val="00E10559"/>
    <w:rsid w:val="00E52405"/>
    <w:rsid w:val="00E671E1"/>
    <w:rsid w:val="00E72921"/>
    <w:rsid w:val="00EA2D8C"/>
    <w:rsid w:val="00EA4EA3"/>
    <w:rsid w:val="00EA675B"/>
    <w:rsid w:val="00EB77C6"/>
    <w:rsid w:val="00EE5A1A"/>
    <w:rsid w:val="00F25CDC"/>
    <w:rsid w:val="00F42AD9"/>
    <w:rsid w:val="00F61B83"/>
    <w:rsid w:val="00F7218A"/>
    <w:rsid w:val="00F73E78"/>
    <w:rsid w:val="00F7443F"/>
    <w:rsid w:val="00F86506"/>
    <w:rsid w:val="00F9735E"/>
    <w:rsid w:val="00FA2397"/>
    <w:rsid w:val="00FB7C38"/>
    <w:rsid w:val="00FC20B2"/>
    <w:rsid w:val="00FC5A85"/>
    <w:rsid w:val="00FE56A8"/>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1F11"/>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 w:type="table" w:styleId="Tablaconcuadrcula">
    <w:name w:val="Table Grid"/>
    <w:basedOn w:val="Tablanormal"/>
    <w:uiPriority w:val="39"/>
    <w:rsid w:val="0029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5A4E614-E42F-4411-A068-C0241CCF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1152</Words>
  <Characters>6339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Luis Carlos Rojas Ortiz</cp:lastModifiedBy>
  <cp:revision>7</cp:revision>
  <cp:lastPrinted>2023-11-30T20:49:00Z</cp:lastPrinted>
  <dcterms:created xsi:type="dcterms:W3CDTF">2024-12-10T12:14:00Z</dcterms:created>
  <dcterms:modified xsi:type="dcterms:W3CDTF">2024-12-10T14:55:00Z</dcterms:modified>
</cp:coreProperties>
</file>